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BF6E4F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環境衛生學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BF6E4F" w:rsidRPr="00A11E0F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</w:rPr>
              <w:t>Environmental Health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  <w:tr w:rsidR="00BF6E4F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授課教師：馬英石</w:t>
            </w:r>
          </w:p>
        </w:tc>
      </w:tr>
      <w:tr w:rsidR="00BF6E4F" w:rsidRPr="00A11E0F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四技二年級</w:t>
            </w:r>
          </w:p>
        </w:tc>
      </w:tr>
      <w:tr w:rsidR="00BF6E4F" w:rsidRPr="00A11E0F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先修科目或先備能力：無</w:t>
            </w:r>
          </w:p>
        </w:tc>
      </w:tr>
      <w:tr w:rsidR="00BF6E4F" w:rsidRPr="00A11E0F" w:rsidTr="00F8042F">
        <w:trPr>
          <w:cantSplit/>
          <w:trHeight w:hRule="exact" w:val="835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課程概述與目標：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(1)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使學生了解環境衛生基本理論及污染防治方法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(2)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使學生了解環境衛生發展趨勢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 (3)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使學生具備分析環境衛生議題之能力</w:t>
            </w:r>
          </w:p>
        </w:tc>
      </w:tr>
      <w:tr w:rsidR="00BF6E4F" w:rsidRPr="00A11E0F" w:rsidTr="00F8042F">
        <w:trPr>
          <w:cantSplit/>
          <w:trHeight w:hRule="exact" w:val="704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環境衛生學，原著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: Dade W. Moeller,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總校閱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: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林文海，新文京書局，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2006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年，第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3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版</w:t>
            </w:r>
          </w:p>
        </w:tc>
      </w:tr>
      <w:tr w:rsidR="00BF6E4F" w:rsidRPr="00A11E0F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BF6E4F" w:rsidRPr="00A11E0F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BF6E4F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環境衛生基礎介紹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環境衛生的範疇</w:t>
            </w:r>
          </w:p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毒理學</w:t>
            </w:r>
          </w:p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流行病學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</w:t>
            </w:r>
          </w:p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核心能力八：理解專業倫理及社會責任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瞭解環境衛生之定義、精神與權利義務</w:t>
            </w:r>
          </w:p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瞭解環境衛生中有關毒理學與流行病學之特性及應對措施</w:t>
            </w:r>
          </w:p>
        </w:tc>
      </w:tr>
      <w:tr w:rsidR="00BF6E4F" w:rsidRPr="00A11E0F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環境衛生實務介紹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工作與職業場所</w:t>
            </w:r>
          </w:p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住宅與社區環境</w:t>
            </w:r>
          </w:p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食物</w:t>
            </w:r>
          </w:p>
          <w:p w:rsidR="00BF6E4F" w:rsidRPr="00A11E0F" w:rsidRDefault="00BF6E4F" w:rsidP="00F8042F">
            <w:pPr>
              <w:spacing w:after="0" w:line="300" w:lineRule="exact"/>
              <w:ind w:leftChars="6" w:left="271" w:hangingChars="117" w:hanging="257"/>
              <w:rPr>
                <w:rFonts w:eastAsia="標楷體"/>
                <w:color w:val="000000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 xml:space="preserve">4. 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飲用水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核心能力二：設計與執行實驗，以及分析與解釋數據的能力</w:t>
            </w:r>
          </w:p>
          <w:p w:rsidR="00BF6E4F" w:rsidRPr="00A11E0F" w:rsidRDefault="00BF6E4F" w:rsidP="00F8042F">
            <w:pPr>
              <w:pStyle w:val="a7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</w:t>
            </w:r>
          </w:p>
          <w:p w:rsidR="00BF6E4F" w:rsidRPr="00A11E0F" w:rsidRDefault="00BF6E4F" w:rsidP="00F8042F">
            <w:pPr>
              <w:snapToGrid w:val="0"/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核心能力八：理解專業倫理及社會責任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1.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工作與職業場所或住宅與社區環境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中常見之環境衛生問題及應對措施</w:t>
            </w:r>
          </w:p>
          <w:p w:rsidR="00BF6E4F" w:rsidRPr="00A11E0F" w:rsidRDefault="00BF6E4F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2.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瞭解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食物及飲用水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中常見之環境衛生問題及應對措施</w:t>
            </w:r>
          </w:p>
        </w:tc>
      </w:tr>
      <w:tr w:rsidR="00BF6E4F" w:rsidRPr="00A11E0F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BF6E4F" w:rsidRPr="00A11E0F" w:rsidRDefault="00BF6E4F" w:rsidP="00F8042F">
            <w:pPr>
              <w:snapToGrid w:val="0"/>
              <w:spacing w:after="0" w:line="300" w:lineRule="exact"/>
              <w:ind w:left="1650" w:hangingChars="750" w:hanging="165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A11E0F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：教材編選：採用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新文京書局出版之環境衛生學，原作者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Dade W. Moeller</w:t>
            </w:r>
            <w:r w:rsidRPr="00A11E0F">
              <w:rPr>
                <w:rFonts w:eastAsia="標楷體"/>
                <w:color w:val="000000"/>
                <w:sz w:val="22"/>
                <w:szCs w:val="22"/>
                <w:lang w:eastAsia="zh-TW"/>
              </w:rPr>
              <w:t>，其內容深淺度符合技專校院學生所需。</w:t>
            </w:r>
          </w:p>
          <w:p w:rsidR="00BF6E4F" w:rsidRPr="00A11E0F" w:rsidRDefault="00BF6E4F" w:rsidP="00F8042F">
            <w:pPr>
              <w:snapToGrid w:val="0"/>
              <w:spacing w:after="0" w:line="300" w:lineRule="exact"/>
              <w:ind w:firstLineChars="750" w:firstLine="1650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教學方法：以一般課堂講授為主，並配合需要邀請業界專家演講。</w:t>
            </w:r>
          </w:p>
          <w:p w:rsidR="00BF6E4F" w:rsidRPr="00A11E0F" w:rsidRDefault="00BF6E4F" w:rsidP="00F8042F">
            <w:pPr>
              <w:spacing w:after="0" w:line="300" w:lineRule="exact"/>
              <w:ind w:leftChars="740" w:left="1776"/>
              <w:rPr>
                <w:rFonts w:eastAsia="標楷體"/>
                <w:sz w:val="22"/>
                <w:szCs w:val="22"/>
                <w:lang w:eastAsia="zh-TW"/>
              </w:rPr>
            </w:pPr>
            <w:r w:rsidRPr="00A11E0F">
              <w:rPr>
                <w:rFonts w:eastAsia="標楷體"/>
                <w:sz w:val="22"/>
                <w:szCs w:val="22"/>
                <w:lang w:eastAsia="zh-TW"/>
              </w:rPr>
              <w:t>評量方法：平時成績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40%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期中考試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 xml:space="preserve">30% 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期末考試</w:t>
            </w:r>
            <w:r w:rsidRPr="00A11E0F">
              <w:rPr>
                <w:rFonts w:eastAsia="標楷體"/>
                <w:sz w:val="22"/>
                <w:szCs w:val="22"/>
                <w:lang w:eastAsia="zh-TW"/>
              </w:rPr>
              <w:t>30%</w:t>
            </w:r>
          </w:p>
        </w:tc>
      </w:tr>
    </w:tbl>
    <w:p w:rsidR="00484D7B" w:rsidRDefault="00804F85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F85" w:rsidRDefault="00804F85" w:rsidP="00BF6E4F">
      <w:pPr>
        <w:spacing w:after="0"/>
      </w:pPr>
      <w:r>
        <w:separator/>
      </w:r>
    </w:p>
  </w:endnote>
  <w:endnote w:type="continuationSeparator" w:id="0">
    <w:p w:rsidR="00804F85" w:rsidRDefault="00804F85" w:rsidP="00BF6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F85" w:rsidRDefault="00804F85" w:rsidP="00BF6E4F">
      <w:pPr>
        <w:spacing w:after="0"/>
      </w:pPr>
      <w:r>
        <w:separator/>
      </w:r>
    </w:p>
  </w:footnote>
  <w:footnote w:type="continuationSeparator" w:id="0">
    <w:p w:rsidR="00804F85" w:rsidRDefault="00804F85" w:rsidP="00BF6E4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46"/>
    <w:rsid w:val="00804F85"/>
    <w:rsid w:val="00BF6E4F"/>
    <w:rsid w:val="00D14A46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4F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F6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E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F6E4F"/>
    <w:rPr>
      <w:sz w:val="20"/>
      <w:szCs w:val="20"/>
    </w:rPr>
  </w:style>
  <w:style w:type="paragraph" w:styleId="a7">
    <w:name w:val="Body Text"/>
    <w:basedOn w:val="a"/>
    <w:link w:val="a8"/>
    <w:rsid w:val="00BF6E4F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BF6E4F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4F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BF6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6E4F"/>
    <w:pPr>
      <w:widowControl w:val="0"/>
      <w:tabs>
        <w:tab w:val="center" w:pos="4153"/>
        <w:tab w:val="right" w:pos="8306"/>
      </w:tabs>
      <w:snapToGrid w:val="0"/>
      <w:spacing w:after="0"/>
      <w:jc w:val="left"/>
    </w:pPr>
    <w:rPr>
      <w:rFonts w:asciiTheme="minorHAnsi" w:eastAsiaTheme="minorEastAsia" w:hAnsiTheme="minorHAnsi" w:cstheme="minorBidi"/>
      <w:kern w:val="2"/>
      <w:sz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BF6E4F"/>
    <w:rPr>
      <w:sz w:val="20"/>
      <w:szCs w:val="20"/>
    </w:rPr>
  </w:style>
  <w:style w:type="paragraph" w:styleId="a7">
    <w:name w:val="Body Text"/>
    <w:basedOn w:val="a"/>
    <w:link w:val="a8"/>
    <w:rsid w:val="00BF6E4F"/>
    <w:pPr>
      <w:widowControl w:val="0"/>
    </w:pPr>
    <w:rPr>
      <w:color w:val="000000"/>
    </w:rPr>
  </w:style>
  <w:style w:type="character" w:customStyle="1" w:styleId="a8">
    <w:name w:val="本文 字元"/>
    <w:basedOn w:val="a0"/>
    <w:link w:val="a7"/>
    <w:rsid w:val="00BF6E4F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2012-10-16T03:27:00Z</dcterms:created>
  <dcterms:modified xsi:type="dcterms:W3CDTF">2012-10-16T03:27:00Z</dcterms:modified>
</cp:coreProperties>
</file>