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F8" w:rsidRPr="00586C03" w:rsidRDefault="00B41DF8" w:rsidP="00B41DF8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beforeLines="50" w:before="180" w:after="0"/>
        <w:jc w:val="left"/>
        <w:rPr>
          <w:rFonts w:eastAsia="標楷體"/>
          <w:b/>
          <w:sz w:val="28"/>
          <w:szCs w:val="28"/>
          <w:lang w:eastAsia="zh-TW"/>
        </w:rPr>
      </w:pPr>
      <w:r w:rsidRPr="00586C03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【附錄</w:t>
      </w:r>
      <w:r w:rsidRPr="00586C03">
        <w:rPr>
          <w:rFonts w:eastAsia="標楷體"/>
          <w:b/>
          <w:bCs/>
          <w:sz w:val="28"/>
          <w:szCs w:val="28"/>
          <w:lang w:eastAsia="zh-TW"/>
        </w:rPr>
        <w:t>4-</w:t>
      </w:r>
      <w:r>
        <w:rPr>
          <w:rFonts w:eastAsia="標楷體" w:hint="eastAsia"/>
          <w:b/>
          <w:bCs/>
          <w:sz w:val="28"/>
          <w:szCs w:val="28"/>
          <w:lang w:eastAsia="zh-TW"/>
        </w:rPr>
        <w:t>3</w:t>
      </w:r>
      <w:r w:rsidRPr="00586C03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】</w:t>
      </w:r>
      <w:r w:rsidRPr="00586C03">
        <w:rPr>
          <w:rFonts w:eastAsia="標楷體"/>
          <w:b/>
          <w:sz w:val="28"/>
          <w:szCs w:val="28"/>
          <w:lang w:eastAsia="zh-TW"/>
        </w:rPr>
        <w:t>100(</w:t>
      </w:r>
      <w:r w:rsidRPr="00586C03">
        <w:rPr>
          <w:rFonts w:eastAsia="標楷體"/>
          <w:b/>
          <w:sz w:val="28"/>
          <w:szCs w:val="28"/>
          <w:lang w:eastAsia="zh-TW"/>
        </w:rPr>
        <w:t>學</w:t>
      </w:r>
      <w:r w:rsidRPr="00586C03">
        <w:rPr>
          <w:rFonts w:eastAsia="標楷體"/>
          <w:b/>
          <w:sz w:val="28"/>
          <w:szCs w:val="28"/>
          <w:lang w:eastAsia="zh-TW"/>
        </w:rPr>
        <w:t>)</w:t>
      </w:r>
      <w:r w:rsidRPr="00586C03">
        <w:rPr>
          <w:rFonts w:eastAsia="標楷體"/>
          <w:b/>
          <w:sz w:val="28"/>
          <w:szCs w:val="28"/>
          <w:lang w:eastAsia="zh-TW"/>
        </w:rPr>
        <w:t>專業必修</w:t>
      </w:r>
      <w:r w:rsidRPr="00586C03">
        <w:rPr>
          <w:rFonts w:eastAsia="標楷體"/>
          <w:b/>
          <w:sz w:val="28"/>
          <w:szCs w:val="28"/>
          <w:lang w:eastAsia="zh-TW"/>
        </w:rPr>
        <w:t>/</w:t>
      </w:r>
      <w:r w:rsidRPr="00586C03">
        <w:rPr>
          <w:rFonts w:eastAsia="標楷體"/>
          <w:b/>
          <w:sz w:val="28"/>
          <w:szCs w:val="28"/>
          <w:lang w:eastAsia="zh-TW"/>
        </w:rPr>
        <w:t>必選修課程綱要表</w:t>
      </w: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B41DF8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課程名稱：（中文）微積分乙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(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環境工程衛生系</w:t>
            </w:r>
          </w:p>
        </w:tc>
      </w:tr>
      <w:tr w:rsidR="00B41DF8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Calculus B (I)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B41DF8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授課教師：許昭興</w:t>
            </w:r>
          </w:p>
        </w:tc>
      </w:tr>
      <w:tr w:rsidR="00B41DF8" w:rsidRPr="00B27F87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一年級</w:t>
            </w:r>
          </w:p>
        </w:tc>
      </w:tr>
      <w:tr w:rsidR="00B41DF8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先修科目或先備能力：基礎數學</w:t>
            </w:r>
          </w:p>
        </w:tc>
      </w:tr>
      <w:tr w:rsidR="00B41DF8" w:rsidRPr="00B27F87" w:rsidTr="00F8042F">
        <w:trPr>
          <w:cantSplit/>
          <w:trHeight w:hRule="exact" w:val="835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課程概述與目標：課程概述與目標：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引導學生瞭解微積分中極限的基本概念以及微分、積分的內容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提供學生在實際生活與未來生涯所需的相關數學知能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並培養學生推理的能力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.</w:t>
            </w:r>
          </w:p>
        </w:tc>
      </w:tr>
      <w:tr w:rsidR="00B41DF8" w:rsidRPr="00B27F87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自編講義</w:t>
            </w:r>
          </w:p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B41DF8" w:rsidRPr="00B27F87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B41DF8" w:rsidRPr="00B27F87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B41DF8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回顧與展望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坐標平面與距離公式</w:t>
            </w:r>
          </w:p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直線及其斜率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F8" w:rsidRPr="00B27F87" w:rsidRDefault="00B41DF8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</w:t>
            </w:r>
          </w:p>
          <w:p w:rsidR="00B41DF8" w:rsidRPr="00B27F87" w:rsidRDefault="00B41DF8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學及工程知識的能力。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u w:val="single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u w:val="single"/>
                <w:lang w:eastAsia="zh-TW"/>
              </w:rPr>
              <w:t>2.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</w:tc>
      </w:tr>
      <w:tr w:rsidR="00B41DF8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極限與連續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DF8" w:rsidRPr="00B27F87" w:rsidRDefault="00B41DF8" w:rsidP="00B41DF8">
            <w:pPr>
              <w:numPr>
                <w:ilvl w:val="0"/>
                <w:numId w:val="1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函數與圖形</w:t>
            </w:r>
          </w:p>
          <w:p w:rsidR="00B41DF8" w:rsidRPr="00B27F87" w:rsidRDefault="00B41DF8" w:rsidP="00B41DF8">
            <w:pPr>
              <w:numPr>
                <w:ilvl w:val="0"/>
                <w:numId w:val="1"/>
              </w:numPr>
              <w:snapToGrid w:val="0"/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極限</w:t>
            </w:r>
          </w:p>
          <w:p w:rsidR="00B41DF8" w:rsidRPr="00B27F87" w:rsidRDefault="00B41DF8" w:rsidP="00B41DF8">
            <w:pPr>
              <w:numPr>
                <w:ilvl w:val="0"/>
                <w:numId w:val="1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連續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DF8" w:rsidRPr="00B27F87" w:rsidRDefault="00B41DF8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</w:t>
            </w:r>
          </w:p>
          <w:p w:rsidR="00B41DF8" w:rsidRPr="00B27F87" w:rsidRDefault="00B41DF8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學及工程知識的能力。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3.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</w:tc>
      </w:tr>
      <w:tr w:rsidR="00B41DF8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微分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DF8" w:rsidRPr="00B27F87" w:rsidRDefault="00B41DF8" w:rsidP="00B41DF8">
            <w:pPr>
              <w:numPr>
                <w:ilvl w:val="0"/>
                <w:numId w:val="2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導數與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斜率</w:t>
            </w:r>
          </w:p>
          <w:p w:rsidR="00B41DF8" w:rsidRPr="00B27F87" w:rsidRDefault="00B41DF8" w:rsidP="00B41DF8">
            <w:pPr>
              <w:numPr>
                <w:ilvl w:val="0"/>
                <w:numId w:val="2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微分法則和變化率</w:t>
            </w:r>
          </w:p>
          <w:p w:rsidR="00B41DF8" w:rsidRPr="00B27F87" w:rsidRDefault="00B41DF8" w:rsidP="00B41DF8">
            <w:pPr>
              <w:numPr>
                <w:ilvl w:val="0"/>
                <w:numId w:val="2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連鎖法則</w:t>
            </w:r>
          </w:p>
          <w:p w:rsidR="00B41DF8" w:rsidRPr="00B27F87" w:rsidRDefault="00B41DF8" w:rsidP="00B41DF8">
            <w:pPr>
              <w:numPr>
                <w:ilvl w:val="0"/>
                <w:numId w:val="2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隱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函數微分</w:t>
            </w:r>
          </w:p>
          <w:p w:rsidR="00B41DF8" w:rsidRPr="00B27F87" w:rsidRDefault="00B41DF8" w:rsidP="00B41DF8">
            <w:pPr>
              <w:numPr>
                <w:ilvl w:val="0"/>
                <w:numId w:val="2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相關變率</w:t>
            </w:r>
          </w:p>
          <w:p w:rsidR="00B41DF8" w:rsidRPr="00B27F87" w:rsidRDefault="00B41DF8" w:rsidP="00B41DF8">
            <w:pPr>
              <w:numPr>
                <w:ilvl w:val="0"/>
                <w:numId w:val="2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增量與微分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DF8" w:rsidRPr="00B27F87" w:rsidRDefault="00B41DF8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</w:t>
            </w:r>
          </w:p>
          <w:p w:rsidR="00B41DF8" w:rsidRPr="00B27F87" w:rsidRDefault="00B41DF8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學及工程知識的能力。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41DF8" w:rsidRPr="00B27F87" w:rsidRDefault="00B41DF8" w:rsidP="00B41DF8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B41DF8" w:rsidRPr="00B27F87" w:rsidRDefault="00B41DF8" w:rsidP="00B41DF8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B41DF8" w:rsidRPr="00B27F87" w:rsidRDefault="00B41DF8" w:rsidP="00B41DF8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B41DF8" w:rsidRPr="00B27F87" w:rsidRDefault="00B41DF8" w:rsidP="00B41DF8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B41DF8" w:rsidRPr="00B27F87" w:rsidRDefault="00B41DF8" w:rsidP="00B41DF8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B41DF8" w:rsidRPr="00B27F87" w:rsidRDefault="00B41DF8" w:rsidP="00B41DF8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</w:tc>
      </w:tr>
      <w:tr w:rsidR="00B41DF8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導數的</w:t>
            </w:r>
            <w:proofErr w:type="gramEnd"/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應用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DF8" w:rsidRPr="00B27F87" w:rsidRDefault="00B41DF8" w:rsidP="00B41DF8">
            <w:pPr>
              <w:numPr>
                <w:ilvl w:val="0"/>
                <w:numId w:val="3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區間上的極值</w:t>
            </w:r>
          </w:p>
          <w:p w:rsidR="00B41DF8" w:rsidRPr="00B27F87" w:rsidRDefault="00B41DF8" w:rsidP="00B41DF8">
            <w:pPr>
              <w:numPr>
                <w:ilvl w:val="0"/>
                <w:numId w:val="3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函數的遞增、遞減和一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階導數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檢定</w:t>
            </w:r>
          </w:p>
          <w:p w:rsidR="00B41DF8" w:rsidRPr="00B27F87" w:rsidRDefault="00B41DF8" w:rsidP="00B41DF8">
            <w:pPr>
              <w:numPr>
                <w:ilvl w:val="0"/>
                <w:numId w:val="3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函數的極大值與極小值</w:t>
            </w:r>
          </w:p>
          <w:p w:rsidR="00B41DF8" w:rsidRPr="00B27F87" w:rsidRDefault="00B41DF8" w:rsidP="00B41DF8">
            <w:pPr>
              <w:numPr>
                <w:ilvl w:val="0"/>
                <w:numId w:val="3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凹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性和二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階導數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檢定</w:t>
            </w:r>
          </w:p>
          <w:p w:rsidR="00B41DF8" w:rsidRPr="00B27F87" w:rsidRDefault="00B41DF8" w:rsidP="00B41DF8">
            <w:pPr>
              <w:numPr>
                <w:ilvl w:val="0"/>
                <w:numId w:val="3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函數圖形的描繪</w:t>
            </w:r>
          </w:p>
          <w:p w:rsidR="00B41DF8" w:rsidRPr="00B27F87" w:rsidRDefault="00B41DF8" w:rsidP="00B41DF8">
            <w:pPr>
              <w:numPr>
                <w:ilvl w:val="0"/>
                <w:numId w:val="3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最佳化問題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DF8" w:rsidRPr="00B27F87" w:rsidRDefault="00B41DF8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</w:t>
            </w:r>
          </w:p>
          <w:p w:rsidR="00B41DF8" w:rsidRPr="00B27F87" w:rsidRDefault="00B41DF8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學及工程知識的能力。</w:t>
            </w:r>
          </w:p>
          <w:p w:rsidR="00B41DF8" w:rsidRPr="00B27F87" w:rsidRDefault="00B41DF8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核心能力六：發掘、分析及</w:t>
            </w:r>
          </w:p>
          <w:p w:rsidR="00B41DF8" w:rsidRPr="00B27F87" w:rsidRDefault="00B41DF8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處理問題的能力。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41DF8" w:rsidRPr="00B27F87" w:rsidRDefault="00B41DF8" w:rsidP="00B41DF8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核心能力六</w:t>
            </w:r>
          </w:p>
          <w:p w:rsidR="00B41DF8" w:rsidRPr="00B27F87" w:rsidRDefault="00B41DF8" w:rsidP="00B41DF8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B41DF8" w:rsidRPr="00B27F87" w:rsidRDefault="00B41DF8" w:rsidP="00B41DF8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核心能力六</w:t>
            </w:r>
          </w:p>
          <w:p w:rsidR="00B41DF8" w:rsidRPr="00B27F87" w:rsidRDefault="00B41DF8" w:rsidP="00B41DF8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B41DF8" w:rsidRPr="00B27F87" w:rsidRDefault="00B41DF8" w:rsidP="00B41DF8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核心能力六</w:t>
            </w:r>
          </w:p>
          <w:p w:rsidR="00B41DF8" w:rsidRPr="00B27F87" w:rsidRDefault="00B41DF8" w:rsidP="00B41DF8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核心能力六</w:t>
            </w:r>
          </w:p>
        </w:tc>
      </w:tr>
      <w:tr w:rsidR="00B41DF8" w:rsidRPr="00B27F87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lastRenderedPageBreak/>
              <w:t>教學要點概述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：</w:t>
            </w:r>
          </w:p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教材編選：以自編講義內容為主</w:t>
            </w:r>
          </w:p>
          <w:p w:rsidR="00B41DF8" w:rsidRPr="00B27F87" w:rsidRDefault="00B41DF8" w:rsidP="00F8042F">
            <w:pPr>
              <w:spacing w:after="0" w:line="300" w:lineRule="exact"/>
              <w:ind w:left="1100" w:hangingChars="500" w:hanging="1100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教學方法：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課堂講述、討論、演習。</w:t>
            </w:r>
          </w:p>
          <w:p w:rsidR="00B41DF8" w:rsidRPr="00B27F87" w:rsidRDefault="00B41DF8" w:rsidP="00F8042F">
            <w:pPr>
              <w:spacing w:after="0" w:line="300" w:lineRule="exact"/>
              <w:ind w:leftChars="415" w:left="996" w:firstLineChars="100" w:firstLine="2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注重啟發、引導，使學生瞭解微積分的主要方法與其在不同領域的應用。</w:t>
            </w:r>
          </w:p>
          <w:p w:rsidR="00B41DF8" w:rsidRPr="00B27F87" w:rsidRDefault="00B41DF8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評量方法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: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平時成績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40%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；期中考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30%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；期末考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30%</w:t>
            </w:r>
          </w:p>
        </w:tc>
      </w:tr>
    </w:tbl>
    <w:p w:rsidR="00B41DF8" w:rsidRPr="00B27F87" w:rsidRDefault="00B41DF8" w:rsidP="00B41DF8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="0" w:line="300" w:lineRule="exact"/>
        <w:ind w:left="958" w:hanging="601"/>
        <w:jc w:val="center"/>
        <w:rPr>
          <w:rFonts w:eastAsia="標楷體"/>
          <w:b/>
          <w:sz w:val="22"/>
          <w:szCs w:val="22"/>
          <w:lang w:eastAsia="zh-TW"/>
        </w:rPr>
      </w:pPr>
    </w:p>
    <w:p w:rsidR="00484D7B" w:rsidRDefault="00635E2D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2D" w:rsidRDefault="00635E2D" w:rsidP="00B41DF8">
      <w:pPr>
        <w:spacing w:after="0"/>
      </w:pPr>
      <w:r>
        <w:separator/>
      </w:r>
    </w:p>
  </w:endnote>
  <w:endnote w:type="continuationSeparator" w:id="0">
    <w:p w:rsidR="00635E2D" w:rsidRDefault="00635E2D" w:rsidP="00B41D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2D" w:rsidRDefault="00635E2D" w:rsidP="00B41DF8">
      <w:pPr>
        <w:spacing w:after="0"/>
      </w:pPr>
      <w:r>
        <w:separator/>
      </w:r>
    </w:p>
  </w:footnote>
  <w:footnote w:type="continuationSeparator" w:id="0">
    <w:p w:rsidR="00635E2D" w:rsidRDefault="00635E2D" w:rsidP="00B41D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07"/>
    <w:multiLevelType w:val="hybridMultilevel"/>
    <w:tmpl w:val="DE80987A"/>
    <w:lvl w:ilvl="0" w:tplc="1B26CA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436423"/>
    <w:multiLevelType w:val="hybridMultilevel"/>
    <w:tmpl w:val="4D6477E4"/>
    <w:lvl w:ilvl="0" w:tplc="E33612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4257C"/>
    <w:multiLevelType w:val="hybridMultilevel"/>
    <w:tmpl w:val="7134405E"/>
    <w:lvl w:ilvl="0" w:tplc="0C8222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5719B8"/>
    <w:multiLevelType w:val="hybridMultilevel"/>
    <w:tmpl w:val="B4B05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117E25"/>
    <w:multiLevelType w:val="hybridMultilevel"/>
    <w:tmpl w:val="45C64AF6"/>
    <w:lvl w:ilvl="0" w:tplc="1B26CA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B6"/>
    <w:rsid w:val="004911B6"/>
    <w:rsid w:val="00635E2D"/>
    <w:rsid w:val="00B41DF8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8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41D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D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41DF8"/>
    <w:rPr>
      <w:sz w:val="20"/>
      <w:szCs w:val="20"/>
    </w:rPr>
  </w:style>
  <w:style w:type="paragraph" w:styleId="a7">
    <w:name w:val="List Paragraph"/>
    <w:basedOn w:val="a"/>
    <w:uiPriority w:val="34"/>
    <w:qFormat/>
    <w:rsid w:val="00B41DF8"/>
    <w:pPr>
      <w:ind w:leftChars="200" w:left="480"/>
    </w:pPr>
  </w:style>
  <w:style w:type="paragraph" w:styleId="a8">
    <w:name w:val="Body Text"/>
    <w:basedOn w:val="a"/>
    <w:link w:val="a9"/>
    <w:rsid w:val="00B41DF8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B41DF8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8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41D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D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41DF8"/>
    <w:rPr>
      <w:sz w:val="20"/>
      <w:szCs w:val="20"/>
    </w:rPr>
  </w:style>
  <w:style w:type="paragraph" w:styleId="a7">
    <w:name w:val="List Paragraph"/>
    <w:basedOn w:val="a"/>
    <w:uiPriority w:val="34"/>
    <w:qFormat/>
    <w:rsid w:val="00B41DF8"/>
    <w:pPr>
      <w:ind w:leftChars="200" w:left="480"/>
    </w:pPr>
  </w:style>
  <w:style w:type="paragraph" w:styleId="a8">
    <w:name w:val="Body Text"/>
    <w:basedOn w:val="a"/>
    <w:link w:val="a9"/>
    <w:rsid w:val="00B41DF8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B41DF8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2012-10-16T03:12:00Z</dcterms:created>
  <dcterms:modified xsi:type="dcterms:W3CDTF">2012-10-16T03:13:00Z</dcterms:modified>
</cp:coreProperties>
</file>